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415B" w14:textId="77777777" w:rsidR="00917F40" w:rsidRDefault="001006EC">
      <w:pPr>
        <w:pStyle w:val="BodyText"/>
        <w:spacing w:before="51"/>
        <w:ind w:left="0" w:right="119" w:firstLine="0"/>
        <w:jc w:val="right"/>
      </w:pPr>
      <w:bookmarkStart w:id="0" w:name="_GoBack"/>
      <w:bookmarkEnd w:id="0"/>
      <w:r>
        <w:t>169</w:t>
      </w:r>
    </w:p>
    <w:p w14:paraId="38A542BC" w14:textId="77777777" w:rsidR="00917F40" w:rsidRDefault="00917F40">
      <w:pPr>
        <w:pStyle w:val="BodyText"/>
        <w:spacing w:before="9"/>
        <w:ind w:left="0" w:right="0" w:firstLine="0"/>
        <w:jc w:val="left"/>
        <w:rPr>
          <w:sz w:val="27"/>
        </w:rPr>
      </w:pPr>
    </w:p>
    <w:p w14:paraId="13AB2B9A" w14:textId="77777777" w:rsidR="00917F40" w:rsidRDefault="001006EC">
      <w:pPr>
        <w:spacing w:before="60"/>
        <w:ind w:left="782" w:right="807"/>
        <w:jc w:val="center"/>
        <w:rPr>
          <w:b/>
          <w:sz w:val="24"/>
        </w:rPr>
      </w:pPr>
      <w:r>
        <w:rPr>
          <w:b/>
          <w:sz w:val="24"/>
        </w:rPr>
        <w:t>Guidelines for Authors</w:t>
      </w:r>
    </w:p>
    <w:p w14:paraId="28B47D93" w14:textId="77777777" w:rsidR="00917F40" w:rsidRDefault="00917F40">
      <w:pPr>
        <w:pStyle w:val="BodyText"/>
        <w:ind w:left="0" w:right="0" w:firstLine="0"/>
        <w:jc w:val="left"/>
        <w:rPr>
          <w:b/>
          <w:sz w:val="20"/>
        </w:rPr>
      </w:pPr>
    </w:p>
    <w:p w14:paraId="2F4246F2" w14:textId="77777777" w:rsidR="00917F40" w:rsidRDefault="00917F40">
      <w:pPr>
        <w:pStyle w:val="BodyText"/>
        <w:ind w:left="0" w:right="0" w:firstLine="0"/>
        <w:jc w:val="left"/>
        <w:rPr>
          <w:b/>
          <w:sz w:val="20"/>
        </w:rPr>
      </w:pPr>
    </w:p>
    <w:p w14:paraId="1CA883E3" w14:textId="77777777" w:rsidR="00917F40" w:rsidRDefault="00917F40">
      <w:pPr>
        <w:rPr>
          <w:sz w:val="20"/>
        </w:rPr>
        <w:sectPr w:rsidR="00917F40">
          <w:type w:val="continuous"/>
          <w:pgSz w:w="12240" w:h="15840"/>
          <w:pgMar w:top="1140" w:right="960" w:bottom="280" w:left="1100" w:header="720" w:footer="720" w:gutter="0"/>
          <w:cols w:space="720"/>
        </w:sectPr>
      </w:pPr>
    </w:p>
    <w:p w14:paraId="0ED0B886" w14:textId="77777777" w:rsidR="00917F40" w:rsidRDefault="001006EC">
      <w:pPr>
        <w:pStyle w:val="BodyText"/>
        <w:spacing w:before="1"/>
      </w:pPr>
      <w:proofErr w:type="spellStart"/>
      <w:r>
        <w:rPr>
          <w:b/>
        </w:rPr>
        <w:lastRenderedPageBreak/>
        <w:t>Typescript</w:t>
      </w:r>
      <w:r>
        <w:rPr>
          <w:rFonts w:ascii="Symbol" w:hAnsi="Symbol"/>
        </w:rPr>
        <w:t></w:t>
      </w:r>
      <w:r>
        <w:t>Papers</w:t>
      </w:r>
      <w:proofErr w:type="spellEnd"/>
      <w:r>
        <w:t xml:space="preserve"> </w:t>
      </w:r>
      <w:r>
        <w:rPr>
          <w:spacing w:val="-3"/>
        </w:rPr>
        <w:t xml:space="preserve">must </w:t>
      </w:r>
      <w:r>
        <w:t>be written clearly and concisely in English. They should be typed (double spaced) with ample margins on all sides on white bond paper (290</w:t>
      </w:r>
      <w:r>
        <w:rPr>
          <w:rFonts w:ascii="Symbol" w:hAnsi="Symbol"/>
        </w:rPr>
        <w:t></w:t>
      </w:r>
      <w:r>
        <w:t xml:space="preserve">215 </w:t>
      </w:r>
      <w:r>
        <w:rPr>
          <w:spacing w:val="-3"/>
        </w:rPr>
        <w:t xml:space="preserve">mm). </w:t>
      </w:r>
      <w:r>
        <w:t xml:space="preserve">The </w:t>
      </w:r>
      <w:proofErr w:type="gramStart"/>
      <w:r>
        <w:t>abstract,  tables</w:t>
      </w:r>
      <w:proofErr w:type="gramEnd"/>
      <w:r>
        <w:t xml:space="preserve">, figure captions and the list </w:t>
      </w:r>
      <w:r>
        <w:rPr>
          <w:spacing w:val="-3"/>
        </w:rPr>
        <w:t xml:space="preserve">of </w:t>
      </w:r>
      <w:r>
        <w:t xml:space="preserve">references should be typed on separate sheets. </w:t>
      </w:r>
      <w:r>
        <w:rPr>
          <w:spacing w:val="-2"/>
        </w:rPr>
        <w:t xml:space="preserve">All </w:t>
      </w:r>
      <w:r>
        <w:t>sheets should be numbered</w:t>
      </w:r>
      <w:r>
        <w:rPr>
          <w:spacing w:val="-4"/>
        </w:rPr>
        <w:t xml:space="preserve"> </w:t>
      </w:r>
      <w:r>
        <w:t>consecutively.</w:t>
      </w:r>
    </w:p>
    <w:p w14:paraId="7843A1A7" w14:textId="77777777" w:rsidR="00917F40" w:rsidRDefault="001006EC">
      <w:pPr>
        <w:pStyle w:val="BodyText"/>
      </w:pPr>
      <w:r>
        <w:rPr>
          <w:b/>
          <w:spacing w:val="-3"/>
        </w:rPr>
        <w:t xml:space="preserve">The </w:t>
      </w:r>
      <w:r>
        <w:rPr>
          <w:b/>
        </w:rPr>
        <w:t xml:space="preserve">title Page </w:t>
      </w:r>
      <w:r>
        <w:t xml:space="preserve">— The title should be short, specific and be useful in indexing </w:t>
      </w:r>
      <w:r>
        <w:rPr>
          <w:spacing w:val="2"/>
        </w:rPr>
        <w:t xml:space="preserve">and </w:t>
      </w:r>
      <w:r>
        <w:t xml:space="preserve">information retrieval. The byline should give initials </w:t>
      </w:r>
      <w:r>
        <w:rPr>
          <w:spacing w:val="2"/>
        </w:rPr>
        <w:t xml:space="preserve">and </w:t>
      </w:r>
      <w:r>
        <w:t xml:space="preserve">names of the authors and the name and address </w:t>
      </w:r>
      <w:r>
        <w:rPr>
          <w:spacing w:val="-3"/>
        </w:rPr>
        <w:t xml:space="preserve">of </w:t>
      </w:r>
      <w:r>
        <w:t xml:space="preserve">the institution where the work was done. The permanent, </w:t>
      </w:r>
      <w:r>
        <w:rPr>
          <w:spacing w:val="-3"/>
        </w:rPr>
        <w:t xml:space="preserve">or </w:t>
      </w:r>
      <w:r>
        <w:t xml:space="preserve">present, address </w:t>
      </w:r>
      <w:r>
        <w:rPr>
          <w:spacing w:val="-3"/>
        </w:rPr>
        <w:t xml:space="preserve">of </w:t>
      </w:r>
      <w:r>
        <w:t>the authors, if different from the address given in the byline, may be given in a footnote. Authors should suggest a short running title, if the title is very</w:t>
      </w:r>
      <w:r>
        <w:rPr>
          <w:spacing w:val="-2"/>
        </w:rPr>
        <w:t xml:space="preserve"> </w:t>
      </w:r>
      <w:r>
        <w:t>long.</w:t>
      </w:r>
    </w:p>
    <w:p w14:paraId="559D6D9E" w14:textId="77777777" w:rsidR="00917F40" w:rsidRDefault="001006EC">
      <w:pPr>
        <w:pStyle w:val="BodyText"/>
      </w:pPr>
      <w:r>
        <w:rPr>
          <w:b/>
        </w:rPr>
        <w:t>Abstrac</w:t>
      </w:r>
      <w:r>
        <w:t>t — The abstract should indicate the scope of the work and the principal findings of the paper. It should not exceed 200 words. The abstract should be informative and be in such form as to be used by abstracting periodicals without modification.</w:t>
      </w:r>
    </w:p>
    <w:p w14:paraId="13831A3F" w14:textId="77777777" w:rsidR="00917F40" w:rsidRDefault="001006EC">
      <w:pPr>
        <w:pStyle w:val="BodyText"/>
      </w:pPr>
      <w:r>
        <w:rPr>
          <w:b/>
        </w:rPr>
        <w:t xml:space="preserve">Data </w:t>
      </w:r>
      <w:r>
        <w:t xml:space="preserve">— Only such primary data as are essential for understanding the discussion and the main conclusions emerging from the study should be included. All such secondary data as are </w:t>
      </w:r>
      <w:r>
        <w:rPr>
          <w:spacing w:val="-3"/>
        </w:rPr>
        <w:t>of</w:t>
      </w:r>
      <w:r>
        <w:rPr>
          <w:spacing w:val="-24"/>
        </w:rPr>
        <w:t xml:space="preserve"> </w:t>
      </w:r>
      <w:r>
        <w:t>interest</w:t>
      </w:r>
    </w:p>
    <w:p w14:paraId="2792A02E" w14:textId="77777777" w:rsidR="00917F40" w:rsidRDefault="001006EC">
      <w:pPr>
        <w:pStyle w:val="BodyText"/>
        <w:spacing w:before="195"/>
        <w:ind w:right="115" w:firstLine="0"/>
      </w:pPr>
      <w:r>
        <w:br w:type="column"/>
      </w:r>
      <w:r>
        <w:lastRenderedPageBreak/>
        <w:t xml:space="preserve">to a specific category of readership may, if necessary, be deposited in the editorial office (or retained by the </w:t>
      </w:r>
      <w:proofErr w:type="gramStart"/>
      <w:r>
        <w:t xml:space="preserve">authors)  </w:t>
      </w:r>
      <w:r>
        <w:rPr>
          <w:spacing w:val="-3"/>
        </w:rPr>
        <w:t>for</w:t>
      </w:r>
      <w:proofErr w:type="gramEnd"/>
      <w:r>
        <w:rPr>
          <w:spacing w:val="-3"/>
        </w:rPr>
        <w:t xml:space="preserve">  </w:t>
      </w:r>
      <w:r>
        <w:t xml:space="preserve">supply  on  demand.   A   footnote   </w:t>
      </w:r>
      <w:r>
        <w:rPr>
          <w:spacing w:val="2"/>
        </w:rPr>
        <w:t xml:space="preserve">to </w:t>
      </w:r>
      <w:r>
        <w:t>the effect may be inserted at a suitable place in the paper.</w:t>
      </w:r>
    </w:p>
    <w:p w14:paraId="3F17CE84" w14:textId="77777777" w:rsidR="00917F40" w:rsidRDefault="001006EC">
      <w:pPr>
        <w:pStyle w:val="BodyText"/>
        <w:spacing w:before="155"/>
        <w:ind w:right="111"/>
      </w:pPr>
      <w:r>
        <w:rPr>
          <w:b/>
        </w:rPr>
        <w:t xml:space="preserve">Tables — </w:t>
      </w:r>
      <w:r>
        <w:t xml:space="preserve">Tables should be typed on separate sheets of paper without </w:t>
      </w:r>
      <w:r>
        <w:rPr>
          <w:spacing w:val="2"/>
        </w:rPr>
        <w:t xml:space="preserve">any </w:t>
      </w:r>
      <w:r>
        <w:t xml:space="preserve">text matter on the page. They should be numbered consecutively in Arabic numerals and should bear brief titles. Column headings should be brief. Units of measurement should be abbreviated and placed below the headings. Nil results should be indicated and distinguished clearly from absence </w:t>
      </w:r>
      <w:r>
        <w:rPr>
          <w:spacing w:val="-3"/>
        </w:rPr>
        <w:t xml:space="preserve">of </w:t>
      </w:r>
      <w:r>
        <w:t xml:space="preserve">data. The same set </w:t>
      </w:r>
      <w:r>
        <w:rPr>
          <w:spacing w:val="-3"/>
        </w:rPr>
        <w:t xml:space="preserve">of </w:t>
      </w:r>
      <w:r>
        <w:t xml:space="preserve">data should not be represented both by tables and by figures. Inclusion </w:t>
      </w:r>
      <w:r>
        <w:rPr>
          <w:spacing w:val="-3"/>
        </w:rPr>
        <w:t xml:space="preserve">of </w:t>
      </w:r>
      <w:r>
        <w:t xml:space="preserve">structural formulae inside the tables should be avoided as far as possible. Tables should be referred to in the text by </w:t>
      </w:r>
      <w:r>
        <w:rPr>
          <w:spacing w:val="-3"/>
        </w:rPr>
        <w:t xml:space="preserve">number </w:t>
      </w:r>
      <w:r>
        <w:rPr>
          <w:spacing w:val="2"/>
        </w:rPr>
        <w:t xml:space="preserve">and </w:t>
      </w:r>
      <w:r>
        <w:t xml:space="preserve">not by </w:t>
      </w:r>
      <w:r>
        <w:rPr>
          <w:spacing w:val="-3"/>
        </w:rPr>
        <w:t xml:space="preserve">terms </w:t>
      </w:r>
      <w:r>
        <w:rPr>
          <w:spacing w:val="-4"/>
        </w:rPr>
        <w:t xml:space="preserve">like </w:t>
      </w:r>
      <w:r>
        <w:rPr>
          <w:spacing w:val="-3"/>
        </w:rPr>
        <w:t xml:space="preserve">‘above’, </w:t>
      </w:r>
      <w:r>
        <w:rPr>
          <w:spacing w:val="-4"/>
        </w:rPr>
        <w:t xml:space="preserve">‘below’, ‘preceding’ </w:t>
      </w:r>
      <w:r>
        <w:rPr>
          <w:spacing w:val="-3"/>
        </w:rPr>
        <w:t>or</w:t>
      </w:r>
      <w:r>
        <w:t xml:space="preserve"> </w:t>
      </w:r>
      <w:r>
        <w:rPr>
          <w:spacing w:val="-3"/>
        </w:rPr>
        <w:t>‘following’</w:t>
      </w:r>
    </w:p>
    <w:p w14:paraId="0F5A7493" w14:textId="77777777" w:rsidR="00917F40" w:rsidRDefault="001006EC">
      <w:pPr>
        <w:pStyle w:val="BodyText"/>
        <w:spacing w:before="153"/>
        <w:ind w:right="114"/>
      </w:pPr>
      <w:r>
        <w:rPr>
          <w:b/>
        </w:rPr>
        <w:t xml:space="preserve">Illustrations — </w:t>
      </w:r>
      <w:r>
        <w:rPr>
          <w:spacing w:val="-2"/>
        </w:rPr>
        <w:t xml:space="preserve">All </w:t>
      </w:r>
      <w:r>
        <w:t xml:space="preserve">illustrations </w:t>
      </w:r>
      <w:r>
        <w:rPr>
          <w:spacing w:val="-3"/>
        </w:rPr>
        <w:t xml:space="preserve">must </w:t>
      </w:r>
      <w:r>
        <w:t xml:space="preserve">be numbered consecutively in Arabic numerals. Captions and legends </w:t>
      </w:r>
      <w:r>
        <w:rPr>
          <w:spacing w:val="2"/>
        </w:rPr>
        <w:t xml:space="preserve">to </w:t>
      </w:r>
      <w:r>
        <w:t xml:space="preserve">the figures should be self-explanatory and should be typed on a separate sheet </w:t>
      </w:r>
      <w:r>
        <w:rPr>
          <w:spacing w:val="-3"/>
        </w:rPr>
        <w:t xml:space="preserve">of </w:t>
      </w:r>
      <w:r>
        <w:t xml:space="preserve">paper and attached at the end </w:t>
      </w:r>
      <w:r>
        <w:rPr>
          <w:spacing w:val="-3"/>
        </w:rPr>
        <w:t xml:space="preserve">of </w:t>
      </w:r>
      <w:r>
        <w:t xml:space="preserve">the manuscript. Line drawings should be made with Indian ink on white drawing paper (preferably Bristol board), cellophane sheet </w:t>
      </w:r>
      <w:r>
        <w:rPr>
          <w:spacing w:val="-3"/>
        </w:rPr>
        <w:t xml:space="preserve">or </w:t>
      </w:r>
      <w:r>
        <w:t xml:space="preserve">tracing cloth. Free-hand drawing is discouraged. Authors are advised to use standard drawings kits, stencil sets, </w:t>
      </w:r>
      <w:r>
        <w:rPr>
          <w:spacing w:val="-3"/>
        </w:rPr>
        <w:t xml:space="preserve">etc. </w:t>
      </w:r>
      <w:r>
        <w:t xml:space="preserve">In addition </w:t>
      </w:r>
      <w:r>
        <w:rPr>
          <w:spacing w:val="2"/>
        </w:rPr>
        <w:t xml:space="preserve">to </w:t>
      </w:r>
      <w:r>
        <w:t xml:space="preserve">the originals, two sets </w:t>
      </w:r>
      <w:r>
        <w:rPr>
          <w:spacing w:val="-3"/>
        </w:rPr>
        <w:t xml:space="preserve">of </w:t>
      </w:r>
      <w:r>
        <w:t xml:space="preserve">blueprints </w:t>
      </w:r>
      <w:r>
        <w:rPr>
          <w:spacing w:val="-3"/>
        </w:rPr>
        <w:t xml:space="preserve">or </w:t>
      </w:r>
      <w:r>
        <w:t xml:space="preserve">Photostat copies should be sent. For satisfactory results in reproduction, the graphs and line drawings should be drawn </w:t>
      </w:r>
      <w:r>
        <w:rPr>
          <w:spacing w:val="2"/>
        </w:rPr>
        <w:t xml:space="preserve">to </w:t>
      </w:r>
      <w:r>
        <w:t xml:space="preserve">approximately twice the size be printed. The size </w:t>
      </w:r>
      <w:r>
        <w:rPr>
          <w:spacing w:val="-3"/>
        </w:rPr>
        <w:t xml:space="preserve">of </w:t>
      </w:r>
      <w:r>
        <w:t xml:space="preserve">letters, numerals, dots, lines, </w:t>
      </w:r>
      <w:r>
        <w:rPr>
          <w:spacing w:val="-3"/>
        </w:rPr>
        <w:t xml:space="preserve">etc. </w:t>
      </w:r>
      <w:r>
        <w:t xml:space="preserve">should be sufficiently large to permit reduction </w:t>
      </w:r>
      <w:r>
        <w:rPr>
          <w:spacing w:val="2"/>
        </w:rPr>
        <w:t xml:space="preserve">to </w:t>
      </w:r>
      <w:r>
        <w:t xml:space="preserve">double column </w:t>
      </w:r>
      <w:r>
        <w:rPr>
          <w:spacing w:val="-3"/>
        </w:rPr>
        <w:t xml:space="preserve">or </w:t>
      </w:r>
      <w:r>
        <w:t xml:space="preserve">single column size as required in the journal without loss </w:t>
      </w:r>
      <w:r>
        <w:rPr>
          <w:spacing w:val="-3"/>
        </w:rPr>
        <w:t xml:space="preserve">of </w:t>
      </w:r>
      <w:r>
        <w:t xml:space="preserve">details. In the case </w:t>
      </w:r>
      <w:r>
        <w:rPr>
          <w:spacing w:val="-3"/>
        </w:rPr>
        <w:t xml:space="preserve">of </w:t>
      </w:r>
      <w:r>
        <w:t xml:space="preserve">photographs, prints </w:t>
      </w:r>
      <w:r>
        <w:rPr>
          <w:spacing w:val="-3"/>
        </w:rPr>
        <w:t xml:space="preserve">must </w:t>
      </w:r>
      <w:r>
        <w:t xml:space="preserve">be on glossy paper and contrasty. If an illustration is taken from another publication, reference </w:t>
      </w:r>
      <w:r>
        <w:rPr>
          <w:spacing w:val="2"/>
        </w:rPr>
        <w:t xml:space="preserve">to </w:t>
      </w:r>
      <w:r>
        <w:t xml:space="preserve">the source should be given and prior permission secured. Illustrations should be covered by thick cardboard to protect them from creases, folds and broken corners during transit. Figures should be referred to in the text by numbers and not by terms like ‘above’, ‘below’, ‘preceding’ </w:t>
      </w:r>
      <w:r>
        <w:rPr>
          <w:spacing w:val="-3"/>
        </w:rPr>
        <w:t xml:space="preserve">or </w:t>
      </w:r>
      <w:r>
        <w:t>‘following’.</w:t>
      </w:r>
    </w:p>
    <w:p w14:paraId="1C36DDFB" w14:textId="77777777" w:rsidR="00917F40" w:rsidRDefault="00917F40">
      <w:pPr>
        <w:sectPr w:rsidR="00917F40">
          <w:type w:val="continuous"/>
          <w:pgSz w:w="12240" w:h="15840"/>
          <w:pgMar w:top="1140" w:right="960" w:bottom="280" w:left="1100" w:header="720" w:footer="720" w:gutter="0"/>
          <w:cols w:num="2" w:space="720" w:equalWidth="0">
            <w:col w:w="4943" w:space="217"/>
            <w:col w:w="5020"/>
          </w:cols>
        </w:sectPr>
      </w:pPr>
    </w:p>
    <w:p w14:paraId="7FEEB0F5" w14:textId="77777777" w:rsidR="00917F40" w:rsidRDefault="001006EC">
      <w:pPr>
        <w:pStyle w:val="BodyText"/>
        <w:spacing w:before="51"/>
        <w:ind w:right="0" w:firstLine="0"/>
        <w:jc w:val="left"/>
      </w:pPr>
      <w:r>
        <w:lastRenderedPageBreak/>
        <w:t>170</w:t>
      </w:r>
    </w:p>
    <w:p w14:paraId="0307B1DA" w14:textId="77777777" w:rsidR="00917F40" w:rsidRDefault="00917F40">
      <w:pPr>
        <w:pStyle w:val="BodyText"/>
        <w:spacing w:before="5"/>
        <w:ind w:left="0" w:right="0" w:firstLine="0"/>
        <w:jc w:val="left"/>
        <w:rPr>
          <w:sz w:val="26"/>
        </w:rPr>
      </w:pPr>
    </w:p>
    <w:p w14:paraId="593E9BA3" w14:textId="77777777" w:rsidR="00917F40" w:rsidRDefault="00917F40">
      <w:pPr>
        <w:rPr>
          <w:sz w:val="26"/>
        </w:rPr>
        <w:sectPr w:rsidR="00917F40">
          <w:pgSz w:w="12240" w:h="15840"/>
          <w:pgMar w:top="1140" w:right="960" w:bottom="280" w:left="1100" w:header="720" w:footer="720" w:gutter="0"/>
          <w:cols w:space="720"/>
        </w:sectPr>
      </w:pPr>
    </w:p>
    <w:p w14:paraId="51E592D5" w14:textId="77777777" w:rsidR="00917F40" w:rsidRDefault="001006EC">
      <w:pPr>
        <w:pStyle w:val="BodyText"/>
        <w:spacing w:before="62"/>
        <w:ind w:right="40"/>
      </w:pPr>
      <w:r>
        <w:lastRenderedPageBreak/>
        <w:t xml:space="preserve">Spectra curves </w:t>
      </w:r>
      <w:r>
        <w:rPr>
          <w:spacing w:val="2"/>
        </w:rPr>
        <w:t xml:space="preserve">and </w:t>
      </w:r>
      <w:r>
        <w:t xml:space="preserve">XRD patterns should be included only if they pertain </w:t>
      </w:r>
      <w:r>
        <w:rPr>
          <w:spacing w:val="2"/>
        </w:rPr>
        <w:t xml:space="preserve">to </w:t>
      </w:r>
      <w:r>
        <w:t xml:space="preserve">new compounds and are essential </w:t>
      </w:r>
      <w:r>
        <w:rPr>
          <w:spacing w:val="2"/>
        </w:rPr>
        <w:t xml:space="preserve">to </w:t>
      </w:r>
      <w:r>
        <w:t xml:space="preserve">the discussion; otherwise, only significant   numerical   data   should   be   </w:t>
      </w:r>
      <w:proofErr w:type="gramStart"/>
      <w:r>
        <w:t>included  in</w:t>
      </w:r>
      <w:proofErr w:type="gramEnd"/>
      <w:r>
        <w:t xml:space="preserve"> the</w:t>
      </w:r>
      <w:r>
        <w:rPr>
          <w:spacing w:val="-8"/>
        </w:rPr>
        <w:t xml:space="preserve"> </w:t>
      </w:r>
      <w:r>
        <w:t>text.</w:t>
      </w:r>
    </w:p>
    <w:p w14:paraId="6F3EE552" w14:textId="77777777" w:rsidR="00917F40" w:rsidRDefault="001006EC">
      <w:pPr>
        <w:pStyle w:val="BodyText"/>
        <w:spacing w:before="3"/>
      </w:pPr>
      <w:r>
        <w:rPr>
          <w:b/>
        </w:rPr>
        <w:t xml:space="preserve">Structural Formulae </w:t>
      </w:r>
      <w:r>
        <w:t xml:space="preserve">— The number of structural formulae should be restricted to the bare minimum. Wherever the purpose is adequately served, chemical </w:t>
      </w:r>
      <w:r>
        <w:rPr>
          <w:spacing w:val="-3"/>
        </w:rPr>
        <w:t xml:space="preserve">or </w:t>
      </w:r>
      <w:r>
        <w:t xml:space="preserve">common names should be preferred. Structural formulae should be numbered in sequence and referred to in the text by their numbers. Reaction schemes should be numbered as schemes </w:t>
      </w:r>
      <w:r>
        <w:rPr>
          <w:spacing w:val="-3"/>
        </w:rPr>
        <w:t xml:space="preserve">or </w:t>
      </w:r>
      <w:proofErr w:type="gramStart"/>
      <w:r>
        <w:t>charts  and</w:t>
      </w:r>
      <w:proofErr w:type="gramEnd"/>
      <w:r>
        <w:t xml:space="preserve"> should be referred </w:t>
      </w:r>
      <w:r>
        <w:rPr>
          <w:spacing w:val="2"/>
        </w:rPr>
        <w:t xml:space="preserve">to </w:t>
      </w:r>
      <w:r>
        <w:t xml:space="preserve">in the text as ‘Scheme 1’ </w:t>
      </w:r>
      <w:r>
        <w:rPr>
          <w:spacing w:val="-3"/>
        </w:rPr>
        <w:t xml:space="preserve">or </w:t>
      </w:r>
      <w:r>
        <w:t xml:space="preserve">‘Chart’, etc., and not by expressions like ‘below’, ‘above’, ‘preceding’ </w:t>
      </w:r>
      <w:r>
        <w:rPr>
          <w:spacing w:val="-3"/>
        </w:rPr>
        <w:t>or</w:t>
      </w:r>
      <w:r>
        <w:rPr>
          <w:spacing w:val="9"/>
        </w:rPr>
        <w:t xml:space="preserve"> </w:t>
      </w:r>
      <w:r>
        <w:t>‘following’.</w:t>
      </w:r>
    </w:p>
    <w:p w14:paraId="5AF062DD" w14:textId="77777777" w:rsidR="00917F40" w:rsidRDefault="001006EC">
      <w:pPr>
        <w:pStyle w:val="BodyText"/>
        <w:ind w:right="42"/>
      </w:pPr>
      <w:r>
        <w:rPr>
          <w:b/>
        </w:rPr>
        <w:t xml:space="preserve">References </w:t>
      </w:r>
      <w:r>
        <w:t>— References to literature, numbered consecutively, must be placed at the end of the paper. In the text, they should be indicated by superscript numbers in sequence.</w:t>
      </w:r>
    </w:p>
    <w:p w14:paraId="530D9DAA" w14:textId="77777777" w:rsidR="00917F40" w:rsidRDefault="001006EC">
      <w:pPr>
        <w:pStyle w:val="BodyText"/>
        <w:ind w:right="40"/>
      </w:pPr>
      <w:r>
        <w:t xml:space="preserve">Reference to a research paper, should carry names and initials </w:t>
      </w:r>
      <w:r>
        <w:rPr>
          <w:spacing w:val="-3"/>
        </w:rPr>
        <w:t xml:space="preserve">of </w:t>
      </w:r>
      <w:r>
        <w:t xml:space="preserve">authors followed, in order, by the title </w:t>
      </w:r>
      <w:r>
        <w:rPr>
          <w:spacing w:val="-3"/>
        </w:rPr>
        <w:t xml:space="preserve">of </w:t>
      </w:r>
      <w:r>
        <w:t>the periodical in the abbreviated from (</w:t>
      </w:r>
      <w:r>
        <w:rPr>
          <w:i/>
        </w:rPr>
        <w:t>italics</w:t>
      </w:r>
      <w:r>
        <w:t xml:space="preserve">), the volume number, the year within circular brackets and the page no. [e.g. Singh S N &amp; Seshadri </w:t>
      </w:r>
      <w:r>
        <w:rPr>
          <w:spacing w:val="-3"/>
        </w:rPr>
        <w:t xml:space="preserve">V, </w:t>
      </w:r>
      <w:r>
        <w:rPr>
          <w:i/>
        </w:rPr>
        <w:t xml:space="preserve">Indian J </w:t>
      </w:r>
      <w:proofErr w:type="spellStart"/>
      <w:r>
        <w:rPr>
          <w:i/>
        </w:rPr>
        <w:t>Eng</w:t>
      </w:r>
      <w:proofErr w:type="spellEnd"/>
      <w:r>
        <w:rPr>
          <w:i/>
        </w:rPr>
        <w:t xml:space="preserve"> Mater </w:t>
      </w:r>
      <w:proofErr w:type="spellStart"/>
      <w:r>
        <w:rPr>
          <w:i/>
        </w:rPr>
        <w:t>Sci</w:t>
      </w:r>
      <w:proofErr w:type="spellEnd"/>
      <w:r>
        <w:t xml:space="preserve">, 13 (2006) 477-483]. For </w:t>
      </w:r>
      <w:r>
        <w:rPr>
          <w:spacing w:val="-3"/>
        </w:rPr>
        <w:t xml:space="preserve">names of </w:t>
      </w:r>
      <w:r>
        <w:t xml:space="preserve">periodicals, the standard abbreviations listed in the </w:t>
      </w:r>
      <w:r>
        <w:rPr>
          <w:i/>
        </w:rPr>
        <w:t xml:space="preserve">International Serials Catalogue </w:t>
      </w:r>
      <w:r>
        <w:t xml:space="preserve">(ICSU-AB) should be used. If a paper has been accepted for publication, the name </w:t>
      </w:r>
      <w:r>
        <w:rPr>
          <w:spacing w:val="-3"/>
        </w:rPr>
        <w:t xml:space="preserve">of </w:t>
      </w:r>
      <w:r>
        <w:t xml:space="preserve">the authors and the journal should be given followed by the words “in press” within circular brackets. [e.g. Gowda B H L, </w:t>
      </w:r>
      <w:r>
        <w:rPr>
          <w:i/>
        </w:rPr>
        <w:t xml:space="preserve">Indian J </w:t>
      </w:r>
      <w:proofErr w:type="spellStart"/>
      <w:r>
        <w:rPr>
          <w:i/>
        </w:rPr>
        <w:t>Eng</w:t>
      </w:r>
      <w:proofErr w:type="spellEnd"/>
      <w:r>
        <w:rPr>
          <w:i/>
        </w:rPr>
        <w:t xml:space="preserve"> Mater </w:t>
      </w:r>
      <w:proofErr w:type="spellStart"/>
      <w:r>
        <w:rPr>
          <w:i/>
        </w:rPr>
        <w:t>Sci</w:t>
      </w:r>
      <w:proofErr w:type="spellEnd"/>
      <w:r>
        <w:t>, (in</w:t>
      </w:r>
      <w:r>
        <w:rPr>
          <w:spacing w:val="-4"/>
        </w:rPr>
        <w:t xml:space="preserve"> </w:t>
      </w:r>
      <w:r>
        <w:t>press)].</w:t>
      </w:r>
    </w:p>
    <w:p w14:paraId="4C665361" w14:textId="77777777" w:rsidR="00917F40" w:rsidRDefault="001006EC">
      <w:pPr>
        <w:pStyle w:val="BodyText"/>
      </w:pPr>
      <w:r>
        <w:t xml:space="preserve">Reference to a book should include, in the following order: names and initials of authors, the title </w:t>
      </w:r>
      <w:r>
        <w:rPr>
          <w:spacing w:val="-3"/>
        </w:rPr>
        <w:t xml:space="preserve">of </w:t>
      </w:r>
      <w:r>
        <w:t xml:space="preserve">the book </w:t>
      </w:r>
      <w:r>
        <w:rPr>
          <w:i/>
        </w:rPr>
        <w:t>(italics)</w:t>
      </w:r>
      <w:r>
        <w:t xml:space="preserve">, name </w:t>
      </w:r>
      <w:r>
        <w:rPr>
          <w:spacing w:val="-3"/>
        </w:rPr>
        <w:t xml:space="preserve">of </w:t>
      </w:r>
      <w:r>
        <w:t xml:space="preserve">publisher and place </w:t>
      </w:r>
      <w:r>
        <w:rPr>
          <w:spacing w:val="-3"/>
        </w:rPr>
        <w:t xml:space="preserve">of </w:t>
      </w:r>
      <w:r>
        <w:t xml:space="preserve">publication within circular brackets, and year [e.g., Ross P </w:t>
      </w:r>
      <w:r>
        <w:rPr>
          <w:spacing w:val="-3"/>
        </w:rPr>
        <w:t xml:space="preserve">J, </w:t>
      </w:r>
      <w:r>
        <w:rPr>
          <w:i/>
        </w:rPr>
        <w:t xml:space="preserve">Taguchi techniques for quality engineering </w:t>
      </w:r>
      <w:r>
        <w:t xml:space="preserve">(McGraw-Hill Book Company, Singapore), 1998 If the reference is to the work </w:t>
      </w:r>
      <w:r>
        <w:rPr>
          <w:spacing w:val="-3"/>
        </w:rPr>
        <w:t xml:space="preserve">of </w:t>
      </w:r>
      <w:r>
        <w:t xml:space="preserve">an author </w:t>
      </w:r>
      <w:r>
        <w:rPr>
          <w:spacing w:val="-3"/>
        </w:rPr>
        <w:t xml:space="preserve">or </w:t>
      </w:r>
      <w:r>
        <w:t>edited by a different person, the fact that it is cited from the source book should be clearly indicated [</w:t>
      </w:r>
      <w:proofErr w:type="spellStart"/>
      <w:r>
        <w:t>e.g</w:t>
      </w:r>
      <w:proofErr w:type="spellEnd"/>
      <w:r>
        <w:t xml:space="preserve">, Okamura K, Sato M, </w:t>
      </w:r>
      <w:proofErr w:type="spellStart"/>
      <w:r>
        <w:t>Seguchi</w:t>
      </w:r>
      <w:proofErr w:type="spellEnd"/>
      <w:r>
        <w:t xml:space="preserve"> T &amp; </w:t>
      </w:r>
      <w:proofErr w:type="spellStart"/>
      <w:r>
        <w:t>Kawanishi</w:t>
      </w:r>
      <w:proofErr w:type="spellEnd"/>
      <w:r>
        <w:t xml:space="preserve"> S, in </w:t>
      </w:r>
      <w:r>
        <w:rPr>
          <w:i/>
        </w:rPr>
        <w:t>Controlled interphase in composite materials</w:t>
      </w:r>
      <w:r>
        <w:t>, edited by Ishida M (Elsevier Science Publishers, New York), 2003, 209].</w:t>
      </w:r>
    </w:p>
    <w:p w14:paraId="0C999B2A" w14:textId="77777777" w:rsidR="00917F40" w:rsidRDefault="001006EC">
      <w:pPr>
        <w:pStyle w:val="BodyText"/>
        <w:spacing w:line="252" w:lineRule="exact"/>
        <w:ind w:left="320" w:right="0" w:firstLine="0"/>
      </w:pPr>
      <w:r>
        <w:t>Proceedings of conferences and symposia should</w:t>
      </w:r>
    </w:p>
    <w:p w14:paraId="7BE25573" w14:textId="77777777" w:rsidR="00917F40" w:rsidRDefault="001006EC">
      <w:pPr>
        <w:pStyle w:val="BodyText"/>
        <w:spacing w:before="62"/>
        <w:ind w:right="111" w:firstLine="0"/>
      </w:pPr>
      <w:r>
        <w:br w:type="column"/>
      </w:r>
      <w:r>
        <w:lastRenderedPageBreak/>
        <w:t xml:space="preserve">be treated in the same manner as books. Reference </w:t>
      </w:r>
      <w:r>
        <w:rPr>
          <w:spacing w:val="2"/>
        </w:rPr>
        <w:t xml:space="preserve">to </w:t>
      </w:r>
      <w:r>
        <w:t xml:space="preserve">a paper presented at a conference, the proceedings </w:t>
      </w:r>
      <w:r>
        <w:rPr>
          <w:spacing w:val="-3"/>
        </w:rPr>
        <w:t xml:space="preserve">of </w:t>
      </w:r>
      <w:r>
        <w:t xml:space="preserve">which are not published, should include, in the following order, names </w:t>
      </w:r>
      <w:r>
        <w:rPr>
          <w:spacing w:val="2"/>
        </w:rPr>
        <w:t xml:space="preserve">and </w:t>
      </w:r>
      <w:r>
        <w:t xml:space="preserve">initials </w:t>
      </w:r>
      <w:r>
        <w:rPr>
          <w:spacing w:val="-3"/>
        </w:rPr>
        <w:t xml:space="preserve">of </w:t>
      </w:r>
      <w:r>
        <w:t xml:space="preserve">authors, title </w:t>
      </w:r>
      <w:r>
        <w:rPr>
          <w:spacing w:val="-3"/>
        </w:rPr>
        <w:t xml:space="preserve">of </w:t>
      </w:r>
      <w:proofErr w:type="gramStart"/>
      <w:r>
        <w:t>the  paper</w:t>
      </w:r>
      <w:proofErr w:type="gramEnd"/>
      <w:r>
        <w:t xml:space="preserve">  (</w:t>
      </w:r>
      <w:r>
        <w:rPr>
          <w:i/>
        </w:rPr>
        <w:t>italics</w:t>
      </w:r>
      <w:r>
        <w:t xml:space="preserve">),   name   </w:t>
      </w:r>
      <w:r>
        <w:rPr>
          <w:spacing w:val="-3"/>
        </w:rPr>
        <w:t xml:space="preserve">of   </w:t>
      </w:r>
      <w:r>
        <w:t xml:space="preserve">the   conference, place where the  conference  was  held,  and  date [e.g., </w:t>
      </w:r>
      <w:proofErr w:type="spellStart"/>
      <w:r>
        <w:t>Kurkjian</w:t>
      </w:r>
      <w:proofErr w:type="spellEnd"/>
      <w:r>
        <w:t xml:space="preserve"> C R &amp; </w:t>
      </w:r>
      <w:proofErr w:type="spellStart"/>
      <w:r>
        <w:t>Inniss</w:t>
      </w:r>
      <w:proofErr w:type="spellEnd"/>
      <w:r>
        <w:t xml:space="preserve"> D, </w:t>
      </w:r>
      <w:r>
        <w:rPr>
          <w:i/>
        </w:rPr>
        <w:t>Strength and fatigue of silica</w:t>
      </w:r>
      <w:r>
        <w:t xml:space="preserve">, paper presented at International Conference on Physics of Non-crystalline, Cambridge, </w:t>
      </w:r>
      <w:r>
        <w:rPr>
          <w:spacing w:val="-3"/>
        </w:rPr>
        <w:t xml:space="preserve">UK,  </w:t>
      </w:r>
      <w:r>
        <w:t>2002].</w:t>
      </w:r>
    </w:p>
    <w:p w14:paraId="34F509A6" w14:textId="77777777" w:rsidR="00917F40" w:rsidRDefault="001006EC">
      <w:pPr>
        <w:spacing w:before="24"/>
        <w:ind w:left="100" w:right="115" w:firstLine="220"/>
        <w:jc w:val="both"/>
      </w:pPr>
      <w:r>
        <w:t xml:space="preserve">Reference to a thesis should include the </w:t>
      </w:r>
      <w:proofErr w:type="gramStart"/>
      <w:r>
        <w:t>name  of</w:t>
      </w:r>
      <w:proofErr w:type="gramEnd"/>
      <w:r>
        <w:t xml:space="preserve"> the author, title of thesis (</w:t>
      </w:r>
      <w:r>
        <w:rPr>
          <w:i/>
        </w:rPr>
        <w:t>italics</w:t>
      </w:r>
      <w:r>
        <w:t xml:space="preserve">), university or institution to which it was submitted and year of submission [e.g., Verma A K, </w:t>
      </w:r>
      <w:r>
        <w:rPr>
          <w:i/>
        </w:rPr>
        <w:t xml:space="preserve">Study on high concentration fly ash slurry disposal through pipeline, </w:t>
      </w:r>
      <w:r>
        <w:t>Ph.D. Thesis, Indian Institute of Technology, New Delhi, 2004].</w:t>
      </w:r>
    </w:p>
    <w:p w14:paraId="377FFC4C" w14:textId="77777777" w:rsidR="00917F40" w:rsidRDefault="001006EC">
      <w:pPr>
        <w:pStyle w:val="BodyText"/>
        <w:spacing w:before="20"/>
        <w:ind w:right="115"/>
      </w:pPr>
      <w:r>
        <w:t xml:space="preserve">Reference </w:t>
      </w:r>
      <w:r>
        <w:rPr>
          <w:spacing w:val="2"/>
        </w:rPr>
        <w:t xml:space="preserve">to </w:t>
      </w:r>
      <w:r>
        <w:t xml:space="preserve">a patent should include names </w:t>
      </w:r>
      <w:r>
        <w:rPr>
          <w:spacing w:val="-3"/>
        </w:rPr>
        <w:t xml:space="preserve">of </w:t>
      </w:r>
      <w:r>
        <w:t xml:space="preserve">patentees, county </w:t>
      </w:r>
      <w:r>
        <w:rPr>
          <w:spacing w:val="-3"/>
        </w:rPr>
        <w:t xml:space="preserve">of </w:t>
      </w:r>
      <w:r>
        <w:t>origin (</w:t>
      </w:r>
      <w:r>
        <w:rPr>
          <w:i/>
        </w:rPr>
        <w:t>italics</w:t>
      </w:r>
      <w:r>
        <w:t xml:space="preserve">) and patent number, the organization to which the patent has been assigned within circular brackets, data </w:t>
      </w:r>
      <w:r>
        <w:rPr>
          <w:spacing w:val="-3"/>
        </w:rPr>
        <w:t xml:space="preserve">of </w:t>
      </w:r>
      <w:r>
        <w:t xml:space="preserve">acceptance </w:t>
      </w:r>
      <w:r>
        <w:rPr>
          <w:spacing w:val="-3"/>
        </w:rPr>
        <w:t xml:space="preserve">of </w:t>
      </w:r>
      <w:r>
        <w:t xml:space="preserve">the patent and reference </w:t>
      </w:r>
      <w:r>
        <w:rPr>
          <w:spacing w:val="2"/>
        </w:rPr>
        <w:t xml:space="preserve">to </w:t>
      </w:r>
      <w:r>
        <w:t xml:space="preserve">an abstracting periodical where </w:t>
      </w:r>
      <w:proofErr w:type="gramStart"/>
      <w:r>
        <w:t>available  [</w:t>
      </w:r>
      <w:proofErr w:type="gramEnd"/>
      <w:r>
        <w:t xml:space="preserve">e.g.,  Kennedy  J  P  &amp;  Faust  R,  </w:t>
      </w:r>
      <w:r>
        <w:rPr>
          <w:i/>
        </w:rPr>
        <w:t>US Pat</w:t>
      </w:r>
      <w:r>
        <w:t>. 4,910, 321 (to the University of Akron), 2000].</w:t>
      </w:r>
    </w:p>
    <w:p w14:paraId="43FEC507" w14:textId="77777777" w:rsidR="00917F40" w:rsidRDefault="001006EC">
      <w:pPr>
        <w:pStyle w:val="BodyText"/>
        <w:spacing w:before="59"/>
        <w:ind w:right="115"/>
      </w:pPr>
      <w:r>
        <w:t>Unpublished papers and personal communications should not be listed under references but should be indicated in the text, e.g. (Pande, A B, unpublished work/data); (Pande, A B, personal communication).</w:t>
      </w:r>
    </w:p>
    <w:p w14:paraId="1FD97A15" w14:textId="77777777" w:rsidR="00917F40" w:rsidRDefault="001006EC">
      <w:pPr>
        <w:pStyle w:val="BodyText"/>
        <w:spacing w:before="59"/>
        <w:ind w:right="114"/>
      </w:pPr>
      <w:r>
        <w:rPr>
          <w:b/>
        </w:rPr>
        <w:t xml:space="preserve">Mathematical Material </w:t>
      </w:r>
      <w:r>
        <w:t xml:space="preserve">— Equations must be clearly written, each on its own line, well away from the text. </w:t>
      </w:r>
      <w:r>
        <w:rPr>
          <w:spacing w:val="-2"/>
        </w:rPr>
        <w:t xml:space="preserve">All </w:t>
      </w:r>
      <w:r>
        <w:t xml:space="preserve">equations </w:t>
      </w:r>
      <w:r>
        <w:rPr>
          <w:spacing w:val="-3"/>
        </w:rPr>
        <w:t xml:space="preserve">must </w:t>
      </w:r>
      <w:r>
        <w:t xml:space="preserve">be numbered consecutively in Arabic numerals with the </w:t>
      </w:r>
      <w:r>
        <w:rPr>
          <w:spacing w:val="-3"/>
        </w:rPr>
        <w:t xml:space="preserve">number </w:t>
      </w:r>
      <w:r>
        <w:t xml:space="preserve">in parentheses near the right-hand margin. Indices </w:t>
      </w:r>
      <w:r>
        <w:rPr>
          <w:spacing w:val="-3"/>
        </w:rPr>
        <w:t xml:space="preserve">or </w:t>
      </w:r>
      <w:r>
        <w:t xml:space="preserve">superscripts </w:t>
      </w:r>
      <w:r>
        <w:rPr>
          <w:spacing w:val="-3"/>
        </w:rPr>
        <w:t xml:space="preserve">must </w:t>
      </w:r>
      <w:r>
        <w:t xml:space="preserve">be indicated in pencil with a </w:t>
      </w:r>
      <w:r>
        <w:rPr>
          <w:rFonts w:ascii="Symbol" w:hAnsi="Symbol"/>
        </w:rPr>
        <w:t></w:t>
      </w:r>
      <w:r>
        <w:t xml:space="preserve"> sign and subscripts with a </w:t>
      </w:r>
      <w:r>
        <w:rPr>
          <w:rFonts w:ascii="Symbol" w:hAnsi="Symbol"/>
        </w:rPr>
        <w:t></w:t>
      </w:r>
      <w:r>
        <w:t xml:space="preserve"> sign, ‘oh’ and ‘zero’, </w:t>
      </w:r>
      <w:r>
        <w:rPr>
          <w:spacing w:val="-3"/>
        </w:rPr>
        <w:t xml:space="preserve">k, </w:t>
      </w:r>
      <w:r>
        <w:t xml:space="preserve">and kappa, ‘ell’ and one, etc., </w:t>
      </w:r>
      <w:r>
        <w:rPr>
          <w:spacing w:val="-3"/>
        </w:rPr>
        <w:t xml:space="preserve">must </w:t>
      </w:r>
      <w:r>
        <w:t xml:space="preserve">be clearly distinguished. For example, the following scheme of underlining in </w:t>
      </w:r>
      <w:proofErr w:type="spellStart"/>
      <w:r>
        <w:t>colour</w:t>
      </w:r>
      <w:proofErr w:type="spellEnd"/>
      <w:r>
        <w:t xml:space="preserve"> may be </w:t>
      </w:r>
      <w:proofErr w:type="spellStart"/>
      <w:r>
        <w:t>used</w:t>
      </w:r>
      <w:r>
        <w:rPr>
          <w:rFonts w:ascii="Symbol" w:hAnsi="Symbol"/>
        </w:rPr>
        <w:t></w:t>
      </w:r>
      <w:r>
        <w:t>blue</w:t>
      </w:r>
      <w:proofErr w:type="spellEnd"/>
      <w:r>
        <w:t xml:space="preserve"> for Greek, red for German (gothic), green for script and brown </w:t>
      </w:r>
      <w:r>
        <w:rPr>
          <w:spacing w:val="-3"/>
        </w:rPr>
        <w:t xml:space="preserve">for </w:t>
      </w:r>
      <w:r>
        <w:t xml:space="preserve">bold-face. Authors </w:t>
      </w:r>
      <w:r>
        <w:rPr>
          <w:spacing w:val="-3"/>
        </w:rPr>
        <w:t xml:space="preserve">must </w:t>
      </w:r>
      <w:r>
        <w:t xml:space="preserve">indicate wherever special characters (Greek, German, Script, Vector, Tensor, matrix, etc.) are required. Vectors </w:t>
      </w:r>
      <w:r>
        <w:rPr>
          <w:spacing w:val="-3"/>
        </w:rPr>
        <w:t xml:space="preserve">must </w:t>
      </w:r>
      <w:r>
        <w:t xml:space="preserve">be underlined by a wavy line and tensors by two wavy lines. The SI system </w:t>
      </w:r>
      <w:r>
        <w:rPr>
          <w:spacing w:val="-3"/>
        </w:rPr>
        <w:t xml:space="preserve">of </w:t>
      </w:r>
      <w:r>
        <w:t>units and symbols is</w:t>
      </w:r>
      <w:r>
        <w:rPr>
          <w:spacing w:val="30"/>
        </w:rPr>
        <w:t xml:space="preserve"> </w:t>
      </w:r>
      <w:r>
        <w:t>recommended.</w:t>
      </w:r>
    </w:p>
    <w:sectPr w:rsidR="00917F40">
      <w:type w:val="continuous"/>
      <w:pgSz w:w="12240" w:h="15840"/>
      <w:pgMar w:top="1140" w:right="960" w:bottom="280" w:left="1100" w:header="720" w:footer="720" w:gutter="0"/>
      <w:cols w:num="2" w:space="720" w:equalWidth="0">
        <w:col w:w="4945" w:space="215"/>
        <w:col w:w="5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sDQ3NzUyNDI0tbRU0lEKTi0uzszPAykwrAUAgjCOZSwAAAA="/>
  </w:docVars>
  <w:rsids>
    <w:rsidRoot w:val="00917F40"/>
    <w:rsid w:val="001006EC"/>
    <w:rsid w:val="008D73D2"/>
    <w:rsid w:val="00917F40"/>
    <w:rsid w:val="00B01D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86E2"/>
  <w15:docId w15:val="{C360F9A9-53C7-413C-ACE6-3CE3792C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38" w:firstLine="220"/>
      <w:jc w:val="both"/>
    </w:pPr>
  </w:style>
  <w:style w:type="paragraph" w:styleId="Title">
    <w:name w:val="Title"/>
    <w:basedOn w:val="Normal"/>
    <w:uiPriority w:val="10"/>
    <w:qFormat/>
    <w:pPr>
      <w:spacing w:before="53" w:line="321" w:lineRule="exact"/>
      <w:ind w:left="791" w:right="80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IJEMS - Guidelines for Authors.doc</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IJEMS - Guidelines for Authors.doc</dc:title>
  <dc:creator>dell</dc:creator>
  <cp:lastModifiedBy>Velaphi Msomi</cp:lastModifiedBy>
  <cp:revision>2</cp:revision>
  <dcterms:created xsi:type="dcterms:W3CDTF">2021-11-03T10:45:00Z</dcterms:created>
  <dcterms:modified xsi:type="dcterms:W3CDTF">2021-11-03T10:45:00Z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Creator">
    <vt:lpwstr>PScript5.dll Version 5.2</vt:lpwstr>
  </property>
  <property fmtid="{D5CDD505-2E9C-101B-9397-08002B2CF9AE}" pid="4" name="LastSaved">
    <vt:filetime>2021-11-01T00:00:00Z</vt:filetime>
  </property>
</Properties>
</file>